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Observing Urban Dynamics in Sydney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Task: Use your knowledge of urban dynamics to identify and describe the urban dynamic shown at each of the fieldwork sites.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Fieldwork sites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3345"/>
        <w:gridCol w:w="1005"/>
        <w:gridCol w:w="3525"/>
        <w:tblGridChange w:id="0">
          <w:tblGrid>
            <w:gridCol w:w="1125"/>
            <w:gridCol w:w="3345"/>
            <w:gridCol w:w="1005"/>
            <w:gridCol w:w="352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Site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hyperlink r:id="rId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Parramatta Rd, Stanmore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Site 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Glenmore Rd, Paddington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Site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Eveleigh St, Redfern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Site 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Haldon St, Lakemba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Site 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Mitchell Rd, Newtown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Site 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Gumnut Rd, Cherrybrook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Site 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George St, Parramatta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Site 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Del Monte Pl, Copacabana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2835"/>
        <w:gridCol w:w="2250"/>
        <w:gridCol w:w="2294"/>
        <w:tblGridChange w:id="0">
          <w:tblGrid>
            <w:gridCol w:w="1650"/>
            <w:gridCol w:w="2835"/>
            <w:gridCol w:w="2250"/>
            <w:gridCol w:w="2294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4"/>
                <w:szCs w:val="24"/>
                <w:rtl w:val="0"/>
              </w:rPr>
              <w:t xml:space="preserve">Urban Dynamic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Definition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Description of example in Sydney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Description of example in London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Sub-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urbanisation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Previously rural urban fringes are developed into residential areas, which attract people from urban city living areas.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4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Ex-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4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urbanisation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 process whereby urban people, usually affluent, move from the city to rural areas but continue to maintain their urban way of life. Requires the use of transport and communication links.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Counter-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urbanisation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 marked decline in the total population, or growth of population of a large metropolitan area and the growth of smaller regional centres at the expense of metropolitan areas. First observed in north America in the 1970s.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De-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centralisation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The movement of people, commerce or industry out of a city’s centre either naturally or deliberately by government policy.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Consolidation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Increasing the density of use of existing urban infrastructure to reduce sprawl and increase efficient use of space.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Urban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Decay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Also called urban blight. Refers to an area that has become derelict or unwanted. This occurs at a neighborhood scale and at city scale in “Brownfield” sites.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Urban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Renewal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The redevelopment of an area that has undergone urban decay. This may occurs as a government lead, large scale redevelopment or a natural shift in desirability of an area.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Urban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Village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Distinctive urban residential districts that comprise a clustering of people with similar culture and forming an identifiable community.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Spatial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0"/>
                <w:szCs w:val="20"/>
                <w:rtl w:val="0"/>
              </w:rPr>
              <w:t xml:space="preserve">Exclusion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Restrictions in spatial access in urban areas for the defence of luxury lifestyles. Manifested in gated communities, walled estates and high security suburbs.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Ubuntu">
    <w:embedRegular r:id="rId1" w:subsetted="0"/>
    <w:embedBold r:id="rId2" w:subsetted="0"/>
    <w:embedItalic r:id="rId3" w:subsetted="0"/>
    <w:embedBoldItalic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s://www.google.com/maps/@-33.814284,151.0065089,3a,75y,140.94h,90t/data=!3m7!1e1!3m5!1sgCb7urgR1S2Vyf0z2Vsg0w!2e0!6s%2F%2Fgeo3.ggpht.com%2Fcbk%3Fpanoid%3DgCb7urgR1S2Vyf0z2Vsg0w%26output%3Dthumbnail%26cb_client%3Dmaps_sv.tactile.gps%26thumb%3D2%26w%3D203%26h%3D100%26yaw%3D284.82404%26pitch%3D0!7i13312!8i6656" TargetMode="External"/><Relationship Id="rId10" Type="http://schemas.openxmlformats.org/officeDocument/2006/relationships/hyperlink" Target="https://www.google.com/maps/@-33.7244023,151.0405557,3a,75y,34.95h,85.08t/data=!3m6!1e1!3m4!1sSclSSsRseuAG1NJpSyC0nA!2e0!7i13312!8i6656" TargetMode="External"/><Relationship Id="rId12" Type="http://schemas.openxmlformats.org/officeDocument/2006/relationships/hyperlink" Target="https://www.google.com/maps/@-33.4905395,151.4351199,3a,75y,266.57h,80.09t/data=!3m6!1e1!3m4!1sjbrEmlyDQqq5aMIQPQ74VQ!2e0!7i13312!8i6656!6m1!1e1" TargetMode="External"/><Relationship Id="rId9" Type="http://schemas.openxmlformats.org/officeDocument/2006/relationships/hyperlink" Target="https://www.google.com/maps/@-33.9066183,151.1869743,3a,75y,310.81h,88.25t/data=!3m6!1e1!3m4!1saiKwgwx0cIwZiOHLiORJrg!2e0!7i13312!8i6656" TargetMode="External"/><Relationship Id="rId5" Type="http://schemas.openxmlformats.org/officeDocument/2006/relationships/hyperlink" Target="https://www.google.com/maps/@-33.887995,151.1670919,3a,75y,296.03h,80.61t/data=!3m6!1e1!3m4!1sdrb5EWmkOE4Wd1lqB5dHmg!2e0!7i13312!8i6656" TargetMode="External"/><Relationship Id="rId6" Type="http://schemas.openxmlformats.org/officeDocument/2006/relationships/hyperlink" Target="https://www.google.com/maps/@-33.8822127,151.2282097,3a,75y,259.68h,81.72t/data=!3m6!1e1!3m4!1s7u7BOEGXjqnsmphM-ob7Vg!2e0!7i13312!8i6656" TargetMode="External"/><Relationship Id="rId7" Type="http://schemas.openxmlformats.org/officeDocument/2006/relationships/hyperlink" Target="https://www.google.com/maps/@-33.890468,151.1993445,3a,75y,56.14h,85.49t/data=!3m6!1e1!3m4!1sJ0_5XSxe8NFBq1veN6PCNw!2e0!7i13312!8i6656" TargetMode="External"/><Relationship Id="rId8" Type="http://schemas.openxmlformats.org/officeDocument/2006/relationships/hyperlink" Target="https://www.google.com/maps/@-33.9220108,151.0783137,3a,75y,317.08h,85.41t/data=!3m7!1e1!3m5!1seddcFiC9cpD11NAGR0gBrQ!2e0!6s%2F%2Fgeo1.ggpht.com%2Fcbk%3Fpanoid%3DeddcFiC9cpD11NAGR0gBrQ%26output%3Dthumbnail%26cb_client%3Dmaps_sv.tactile.gps%26thumb%3D2%26w%3D203%26h%3D100%26yaw%3D254.61897%26pitch%3D0!7i13312!8i665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